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Share your eye contact. While you may wish to focus y</w:t>
      </w:r>
      <w:r w:rsidRPr="00BB6545">
        <w:rPr>
          <w:rFonts w:asciiTheme="minorHAnsi" w:hAnsiTheme="minorHAnsi" w:cstheme="minorHAnsi"/>
          <w:sz w:val="20"/>
          <w:szCs w:val="20"/>
        </w:rPr>
        <w:t>our attention on the person who asked y</w:t>
      </w:r>
      <w:r w:rsidRPr="00BB6545">
        <w:rPr>
          <w:rFonts w:asciiTheme="minorHAnsi" w:hAnsiTheme="minorHAnsi" w:cstheme="minorHAnsi"/>
          <w:sz w:val="20"/>
          <w:szCs w:val="20"/>
        </w:rPr>
        <w:t>ou the question, be sure to include everyone in your eye contact as you answer.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Stop. Think. Talk.  Better to take a five-second pause and think of a good answer than to just start talking and hope that your brain catches up.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Please stop saying “good question.”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 xml:space="preserve">If you are prone to </w:t>
      </w:r>
      <w:proofErr w:type="spellStart"/>
      <w:r w:rsidRPr="00BB6545">
        <w:rPr>
          <w:rFonts w:asciiTheme="minorHAnsi" w:hAnsiTheme="minorHAnsi" w:cstheme="minorHAnsi"/>
          <w:sz w:val="20"/>
          <w:szCs w:val="20"/>
        </w:rPr>
        <w:t>uptalk</w:t>
      </w:r>
      <w:proofErr w:type="spellEnd"/>
      <w:r w:rsidRPr="00BB6545">
        <w:rPr>
          <w:rFonts w:asciiTheme="minorHAnsi" w:hAnsiTheme="minorHAnsi" w:cstheme="minorHAnsi"/>
          <w:sz w:val="20"/>
          <w:szCs w:val="20"/>
        </w:rPr>
        <w:t xml:space="preserve"> or vocal fry, please be aware that these vocal tendencies tend to irritate people from older generations.</w:t>
      </w:r>
    </w:p>
    <w:p w:rsidR="00BB6545" w:rsidRPr="00BB6545" w:rsidRDefault="00BB6545" w:rsidP="00BB6545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Record yourself answering practice questions and see what I mean.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No white socks.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Take it easy on the cologne/perfume.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No plunging necklines.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Keep your hair out of your face.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Why did you bring a drink?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Why don’t you have a portfolio and a pen?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Don’t assume that we’re shaking hands – read the room before you decide. If they’re interviewing dozens of people, they probably don’t want to shake hands with you.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Yes, we’ve read your application.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Keep all answers under 1 minute. Preferably under 30 seconds. Set the alarm on your phone for 1 minute and talk continuously. See how long that is?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Stop shaking the chair.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Stop swiveling the chair.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Lean forward.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But not that far.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Unbutton your jacket when you sit down.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Wear minimal jewelry, and if you do wear something noticeable, prepare to have a conversation about it (e.g. a pendant, pin, class ring).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Iron your clothes.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Take the time to find a jacket that fits. You can go to a Goodwill in a nice neighborhood and find high-quality clothes. No neck gaps!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Don’t talk so loud – this is a small room.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If you say ‘like’ or ‘well’ again, I’m going to hit you with my pen.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Stop your answers just short of where you think you should. Resist the urge to add on. Ask them “does that answer your question?” But don’t do that every time.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It’s OK to say “I don’t know.” But not to every question.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Don’t assume you know what I want you to say. Be honest, be firm, and stand by your convictions. We can disagree – it’s not fatal.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If you did not hear or did not understand the question, ask them to clarify before you answer.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Nice variations on “I don’t know” is “I’m not that familiar with X, but what I do know a lot about is Y” OR “I’m afraid that I don’t know a lot about X, but this is what I would do to learn:”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I can tell everything that I need to know about you from your shoes. Make sure that you are wearing comfortable ones – both literally and metaphorically.</w:t>
      </w:r>
    </w:p>
    <w:p w:rsidR="00BB6545" w:rsidRPr="00BB6545" w:rsidRDefault="00BB6545" w:rsidP="00BB654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Smile.</w:t>
      </w:r>
    </w:p>
    <w:p w:rsidR="00BB6545" w:rsidRPr="00BB6545" w:rsidRDefault="00BB6545" w:rsidP="00BB6545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BB6545" w:rsidRPr="00BB6545" w:rsidRDefault="00BB6545" w:rsidP="00BB6545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 xml:space="preserve">Students who want to record responses to interview question prompts and review the content of their responses and/or practice new vocal and body language habits can use an app like </w:t>
      </w:r>
      <w:proofErr w:type="spellStart"/>
      <w:r w:rsidRPr="00BB6545">
        <w:rPr>
          <w:rFonts w:asciiTheme="minorHAnsi" w:hAnsiTheme="minorHAnsi" w:cstheme="minorHAnsi"/>
          <w:sz w:val="20"/>
          <w:szCs w:val="20"/>
        </w:rPr>
        <w:t>Vidcoach</w:t>
      </w:r>
      <w:proofErr w:type="spellEnd"/>
      <w:r w:rsidRPr="00BB6545">
        <w:rPr>
          <w:rFonts w:asciiTheme="minorHAnsi" w:hAnsiTheme="minorHAnsi" w:cstheme="minorHAnsi"/>
          <w:sz w:val="20"/>
          <w:szCs w:val="20"/>
        </w:rPr>
        <w:t>:</w:t>
      </w:r>
    </w:p>
    <w:p w:rsidR="00BB6545" w:rsidRPr="00BB6545" w:rsidRDefault="00BB6545" w:rsidP="00BB6545">
      <w:pPr>
        <w:pStyle w:val="PlainText"/>
        <w:ind w:left="720"/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Apple: </w:t>
      </w:r>
      <w:hyperlink r:id="rId7" w:history="1">
        <w:r w:rsidRPr="00BB6545">
          <w:rPr>
            <w:rStyle w:val="Hyperlink"/>
            <w:rFonts w:asciiTheme="minorHAnsi" w:hAnsiTheme="minorHAnsi" w:cstheme="minorHAnsi"/>
            <w:sz w:val="20"/>
            <w:szCs w:val="20"/>
          </w:rPr>
          <w:t>https://itunes.apple.com/us/app/vidcoach/id645391520?mt=8</w:t>
        </w:r>
      </w:hyperlink>
      <w:r w:rsidRPr="00BB6545">
        <w:rPr>
          <w:rFonts w:asciiTheme="minorHAnsi" w:hAnsiTheme="minorHAnsi" w:cstheme="minorHAnsi"/>
          <w:sz w:val="20"/>
          <w:szCs w:val="20"/>
        </w:rPr>
        <w:t xml:space="preserve"> [1]</w:t>
      </w:r>
    </w:p>
    <w:p w:rsidR="00BB6545" w:rsidRPr="00BB6545" w:rsidRDefault="00BB6545" w:rsidP="00BB6545">
      <w:pPr>
        <w:pStyle w:val="PlainText"/>
        <w:ind w:left="720"/>
        <w:rPr>
          <w:rFonts w:asciiTheme="minorHAnsi" w:hAnsiTheme="minorHAnsi" w:cstheme="minorHAnsi"/>
          <w:sz w:val="20"/>
          <w:szCs w:val="20"/>
        </w:rPr>
      </w:pPr>
      <w:r w:rsidRPr="00BB6545">
        <w:rPr>
          <w:rFonts w:asciiTheme="minorHAnsi" w:hAnsiTheme="minorHAnsi" w:cstheme="minorHAnsi"/>
          <w:sz w:val="20"/>
          <w:szCs w:val="20"/>
        </w:rPr>
        <w:t>Android: </w:t>
      </w:r>
      <w:hyperlink r:id="rId8" w:history="1">
        <w:r w:rsidRPr="00BB6545">
          <w:rPr>
            <w:rStyle w:val="Hyperlink"/>
            <w:rFonts w:asciiTheme="minorHAnsi" w:hAnsiTheme="minorHAnsi" w:cstheme="minorHAnsi"/>
            <w:sz w:val="20"/>
            <w:szCs w:val="20"/>
          </w:rPr>
          <w:t>https://play.google.com/store/apps/details?id=com.VidCoach.myapp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B6545">
        <w:rPr>
          <w:rFonts w:asciiTheme="minorHAnsi" w:hAnsiTheme="minorHAnsi" w:cstheme="minorHAnsi"/>
          <w:sz w:val="20"/>
          <w:szCs w:val="20"/>
        </w:rPr>
        <w:t>[2]</w:t>
      </w:r>
    </w:p>
    <w:p w:rsidR="008F7A0C" w:rsidRPr="00BB6545" w:rsidRDefault="00BB6545" w:rsidP="009B7775">
      <w:pPr>
        <w:pStyle w:val="PlainText"/>
        <w:ind w:left="360"/>
        <w:rPr>
          <w:rFonts w:asciiTheme="minorHAnsi" w:hAnsiTheme="minorHAnsi" w:cstheme="minorHAnsi"/>
          <w:szCs w:val="22"/>
        </w:rPr>
      </w:pPr>
      <w:r w:rsidRPr="00BB6545">
        <w:rPr>
          <w:rFonts w:asciiTheme="minorHAnsi" w:hAnsiTheme="minorHAnsi" w:cstheme="minorHAnsi"/>
          <w:sz w:val="20"/>
          <w:szCs w:val="20"/>
        </w:rPr>
        <w:t>Although the app was developed with the autism spectrum in mind, it works for anyone who is building interview skills and confidence.</w:t>
      </w:r>
    </w:p>
    <w:sectPr w:rsidR="008F7A0C" w:rsidRPr="00BB6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E5" w:rsidRDefault="007F61E5" w:rsidP="00BB6545">
      <w:pPr>
        <w:spacing w:after="0" w:line="240" w:lineRule="auto"/>
      </w:pPr>
      <w:r>
        <w:separator/>
      </w:r>
    </w:p>
  </w:endnote>
  <w:endnote w:type="continuationSeparator" w:id="0">
    <w:p w:rsidR="007F61E5" w:rsidRDefault="007F61E5" w:rsidP="00BB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59" w:rsidRDefault="00837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51" w:rsidRPr="009B7775" w:rsidRDefault="000E0851" w:rsidP="000E0851">
    <w:pPr>
      <w:widowControl w:val="0"/>
      <w:spacing w:after="0" w:line="286" w:lineRule="auto"/>
      <w:jc w:val="center"/>
      <w:rPr>
        <w:rFonts w:ascii="Bookman Old Style" w:eastAsia="Times New Roman" w:hAnsi="Bookman Old Style"/>
        <w:color w:val="913C3A"/>
        <w:kern w:val="28"/>
        <w:sz w:val="18"/>
        <w:szCs w:val="18"/>
      </w:rPr>
    </w:pPr>
    <w:r w:rsidRPr="009B7775">
      <w:rPr>
        <w:rFonts w:ascii="Bookman Old Style" w:eastAsia="Times New Roman" w:hAnsi="Bookman Old Style"/>
        <w:color w:val="913C3A"/>
        <w:kern w:val="28"/>
        <w:sz w:val="18"/>
        <w:szCs w:val="18"/>
      </w:rPr>
      <w:t>www.sa</w:t>
    </w:r>
    <w:r>
      <w:rPr>
        <w:rFonts w:ascii="Bookman Old Style" w:eastAsia="Times New Roman" w:hAnsi="Bookman Old Style"/>
        <w:color w:val="913C3A"/>
        <w:kern w:val="28"/>
        <w:sz w:val="18"/>
        <w:szCs w:val="18"/>
      </w:rPr>
      <w:t>lisbury.edu/nationalfellowships</w:t>
    </w:r>
  </w:p>
  <w:p w:rsidR="009B7775" w:rsidRPr="000E0851" w:rsidRDefault="000E0851" w:rsidP="000E0851">
    <w:pPr>
      <w:widowControl w:val="0"/>
      <w:spacing w:after="0" w:line="286" w:lineRule="auto"/>
      <w:jc w:val="center"/>
      <w:rPr>
        <w:rFonts w:ascii="Bookman Old Style" w:eastAsia="Times New Roman" w:hAnsi="Bookman Old Style"/>
        <w:color w:val="913C3A"/>
        <w:kern w:val="28"/>
        <w:sz w:val="18"/>
        <w:szCs w:val="18"/>
      </w:rPr>
    </w:pPr>
    <w:r>
      <w:rPr>
        <w:rFonts w:ascii="Bookman Old Style" w:eastAsia="Times New Roman" w:hAnsi="Bookman Old Style"/>
        <w:color w:val="913C3A"/>
        <w:kern w:val="28"/>
        <w:sz w:val="18"/>
        <w:szCs w:val="18"/>
      </w:rPr>
      <w:t>nationalfellowships</w:t>
    </w:r>
    <w:r w:rsidRPr="009B7775">
      <w:rPr>
        <w:rFonts w:ascii="Bookman Old Style" w:eastAsia="Times New Roman" w:hAnsi="Bookman Old Style"/>
        <w:color w:val="913C3A"/>
        <w:kern w:val="28"/>
        <w:sz w:val="18"/>
        <w:szCs w:val="18"/>
      </w:rPr>
      <w:t>@salisbury.edu; Twitter:@</w:t>
    </w:r>
    <w:proofErr w:type="spellStart"/>
    <w:r w:rsidRPr="009B7775">
      <w:rPr>
        <w:rFonts w:ascii="Bookman Old Style" w:eastAsia="Times New Roman" w:hAnsi="Bookman Old Style"/>
        <w:color w:val="913C3A"/>
        <w:kern w:val="28"/>
        <w:sz w:val="18"/>
        <w:szCs w:val="18"/>
      </w:rPr>
      <w:t>SalisburyNCFO</w:t>
    </w:r>
    <w:proofErr w:type="spellEnd"/>
    <w:r w:rsidRPr="009B7775">
      <w:rPr>
        <w:rFonts w:ascii="Bookman Old Style" w:eastAsia="Times New Roman" w:hAnsi="Bookman Old Style"/>
        <w:color w:val="913C3A"/>
        <w:kern w:val="28"/>
        <w:sz w:val="18"/>
        <w:szCs w:val="18"/>
      </w:rPr>
      <w:t>; fb</w:t>
    </w:r>
    <w:r>
      <w:rPr>
        <w:rFonts w:ascii="Bookman Old Style" w:eastAsia="Times New Roman" w:hAnsi="Bookman Old Style"/>
        <w:color w:val="913C3A"/>
        <w:kern w:val="28"/>
        <w:sz w:val="18"/>
        <w:szCs w:val="18"/>
      </w:rPr>
      <w:t>:</w:t>
    </w:r>
    <w:r w:rsidRPr="009B7775">
      <w:rPr>
        <w:rFonts w:ascii="Bookman Old Style" w:eastAsia="Times New Roman" w:hAnsi="Bookman Old Style"/>
        <w:color w:val="913C3A"/>
        <w:kern w:val="28"/>
        <w:sz w:val="18"/>
        <w:szCs w:val="18"/>
      </w:rPr>
      <w:t xml:space="preserve"> https://www.facebook.com/sncfo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59" w:rsidRDefault="00837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E5" w:rsidRDefault="007F61E5" w:rsidP="00BB6545">
      <w:pPr>
        <w:spacing w:after="0" w:line="240" w:lineRule="auto"/>
      </w:pPr>
      <w:r>
        <w:separator/>
      </w:r>
    </w:p>
  </w:footnote>
  <w:footnote w:type="continuationSeparator" w:id="0">
    <w:p w:rsidR="007F61E5" w:rsidRDefault="007F61E5" w:rsidP="00BB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59" w:rsidRDefault="00837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45"/>
      <w:gridCol w:w="4410"/>
      <w:gridCol w:w="2695"/>
    </w:tblGrid>
    <w:tr w:rsidR="000E0851" w:rsidTr="00837E59">
      <w:tc>
        <w:tcPr>
          <w:tcW w:w="2245" w:type="dxa"/>
        </w:tcPr>
        <w:p w:rsidR="000E0851" w:rsidRDefault="000E0851" w:rsidP="00BB6545">
          <w:pPr>
            <w:pStyle w:val="PlainText"/>
            <w:jc w:val="center"/>
            <w:rPr>
              <w:rFonts w:ascii="Papyrus" w:hAnsi="Papyrus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64B5E8D4" wp14:editId="31B1F6BE">
                <wp:simplePos x="0" y="0"/>
                <wp:positionH relativeFrom="column">
                  <wp:posOffset>-230506</wp:posOffset>
                </wp:positionH>
                <wp:positionV relativeFrom="paragraph">
                  <wp:posOffset>-257176</wp:posOffset>
                </wp:positionV>
                <wp:extent cx="1323975" cy="1276517"/>
                <wp:effectExtent l="0" t="0" r="0" b="0"/>
                <wp:wrapNone/>
                <wp:docPr id="3" name="Picture 3" descr="https://tbncdn.freelogodesign.org/2676cdb0-26dc-4917-af4a-730571bdfe6c.png?1492719509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bncdn.freelogodesign.org/2676cdb0-26dc-4917-af4a-730571bdfe6c.png?14927195093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394" cy="12817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0" w:type="dxa"/>
        </w:tcPr>
        <w:p w:rsidR="000E0851" w:rsidRDefault="000E0851" w:rsidP="000E0851">
          <w:pPr>
            <w:pStyle w:val="PlainText"/>
            <w:jc w:val="center"/>
            <w:rPr>
              <w:rFonts w:ascii="Papyrus" w:hAnsi="Papyrus"/>
              <w:b/>
              <w:sz w:val="28"/>
              <w:szCs w:val="28"/>
            </w:rPr>
          </w:pPr>
        </w:p>
        <w:p w:rsidR="000E0851" w:rsidRPr="00837E59" w:rsidRDefault="000E0851" w:rsidP="000E0851">
          <w:pPr>
            <w:pStyle w:val="PlainText"/>
            <w:jc w:val="center"/>
            <w:rPr>
              <w:rFonts w:ascii="Papyrus" w:hAnsi="Papyrus"/>
              <w:b/>
              <w:sz w:val="36"/>
              <w:szCs w:val="36"/>
            </w:rPr>
          </w:pPr>
          <w:r w:rsidRPr="00837E59">
            <w:rPr>
              <w:rFonts w:ascii="Papyrus" w:hAnsi="Papyrus"/>
              <w:b/>
              <w:sz w:val="36"/>
              <w:szCs w:val="36"/>
            </w:rPr>
            <w:t>Interview Etiquette</w:t>
          </w:r>
        </w:p>
        <w:p w:rsidR="000E0851" w:rsidRPr="000E0851" w:rsidRDefault="000E0851" w:rsidP="000E0851">
          <w:pPr>
            <w:pStyle w:val="PlainText"/>
            <w:jc w:val="center"/>
            <w:rPr>
              <w:rFonts w:ascii="Papyrus" w:hAnsi="Papyrus"/>
              <w:b/>
              <w:sz w:val="20"/>
              <w:szCs w:val="20"/>
            </w:rPr>
          </w:pPr>
          <w:r>
            <w:rPr>
              <w:rFonts w:ascii="Papyrus" w:hAnsi="Papyrus"/>
              <w:b/>
              <w:sz w:val="20"/>
              <w:szCs w:val="20"/>
            </w:rPr>
            <w:t>A primer for students</w:t>
          </w:r>
        </w:p>
      </w:tc>
      <w:tc>
        <w:tcPr>
          <w:tcW w:w="2695" w:type="dxa"/>
        </w:tcPr>
        <w:p w:rsidR="000E0851" w:rsidRDefault="000E0851" w:rsidP="00837E59">
          <w:pPr>
            <w:pStyle w:val="PlainText"/>
            <w:rPr>
              <w:rFonts w:ascii="Papyrus" w:hAnsi="Papyrus"/>
              <w:b/>
              <w:sz w:val="28"/>
              <w:szCs w:val="28"/>
            </w:rPr>
          </w:pPr>
          <w:r w:rsidRPr="00266C28">
            <w:rPr>
              <w:b/>
              <w:noProof/>
              <w:color w:val="A50021"/>
            </w:rPr>
            <w:drawing>
              <wp:anchor distT="0" distB="0" distL="114300" distR="114300" simplePos="0" relativeHeight="251663360" behindDoc="1" locked="0" layoutInCell="1" allowOverlap="1" wp14:anchorId="6D2C0F39" wp14:editId="4E50F272">
                <wp:simplePos x="0" y="0"/>
                <wp:positionH relativeFrom="column">
                  <wp:posOffset>573405</wp:posOffset>
                </wp:positionH>
                <wp:positionV relativeFrom="paragraph">
                  <wp:posOffset>0</wp:posOffset>
                </wp:positionV>
                <wp:extent cx="1329690" cy="723900"/>
                <wp:effectExtent l="0" t="0" r="0" b="0"/>
                <wp:wrapThrough wrapText="bothSides">
                  <wp:wrapPolygon edited="0">
                    <wp:start x="10831" y="0"/>
                    <wp:lineTo x="309" y="3979"/>
                    <wp:lineTo x="309" y="9663"/>
                    <wp:lineTo x="928" y="17053"/>
                    <wp:lineTo x="16711" y="19326"/>
                    <wp:lineTo x="16711" y="21032"/>
                    <wp:lineTo x="21043" y="21032"/>
                    <wp:lineTo x="21043" y="2274"/>
                    <wp:lineTo x="13616" y="0"/>
                    <wp:lineTo x="10831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tionalFellowshipLOGO_14.pd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69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0" w:name="_GoBack"/>
          <w:bookmarkEnd w:id="0"/>
        </w:p>
      </w:tc>
    </w:tr>
  </w:tbl>
  <w:p w:rsidR="00BB6545" w:rsidRPr="00BB6545" w:rsidRDefault="00BB6545" w:rsidP="000E0851">
    <w:pPr>
      <w:pStyle w:val="PlainText"/>
      <w:jc w:val="center"/>
      <w:rPr>
        <w:rFonts w:ascii="Papyrus" w:hAnsi="Papyrus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59" w:rsidRDefault="00837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797"/>
    <w:multiLevelType w:val="hybridMultilevel"/>
    <w:tmpl w:val="1966C98A"/>
    <w:lvl w:ilvl="0" w:tplc="E6BE911A">
      <w:numFmt w:val="bullet"/>
      <w:lvlText w:val="·"/>
      <w:lvlJc w:val="left"/>
      <w:pPr>
        <w:ind w:left="825" w:hanging="46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9514D"/>
    <w:multiLevelType w:val="hybridMultilevel"/>
    <w:tmpl w:val="76AC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45"/>
    <w:rsid w:val="000E0851"/>
    <w:rsid w:val="001F098D"/>
    <w:rsid w:val="002E26DA"/>
    <w:rsid w:val="007F61E5"/>
    <w:rsid w:val="00837E59"/>
    <w:rsid w:val="008C4F9C"/>
    <w:rsid w:val="009B7775"/>
    <w:rsid w:val="00B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D0EBF-1ED0-4D79-9649-C4631A8A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54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B65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54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B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45"/>
  </w:style>
  <w:style w:type="paragraph" w:styleId="Footer">
    <w:name w:val="footer"/>
    <w:basedOn w:val="Normal"/>
    <w:link w:val="FooterChar"/>
    <w:uiPriority w:val="99"/>
    <w:unhideWhenUsed/>
    <w:rsid w:val="00BB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45"/>
  </w:style>
  <w:style w:type="table" w:styleId="TableGrid">
    <w:name w:val="Table Grid"/>
    <w:basedOn w:val="TableNormal"/>
    <w:uiPriority w:val="39"/>
    <w:rsid w:val="009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VidCoach.myap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pp/vidcoach/id645391520?mt=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https://tbncdn.freelogodesign.org/2676cdb0-26dc-4917-af4a-730571bdfe6c.png?149271950939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2539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Walton</dc:creator>
  <cp:keywords/>
  <dc:description/>
  <cp:lastModifiedBy>Kristen Walton</cp:lastModifiedBy>
  <cp:revision>6</cp:revision>
  <cp:lastPrinted>2017-10-19T17:04:00Z</cp:lastPrinted>
  <dcterms:created xsi:type="dcterms:W3CDTF">2017-10-19T16:49:00Z</dcterms:created>
  <dcterms:modified xsi:type="dcterms:W3CDTF">2017-10-19T17:06:00Z</dcterms:modified>
</cp:coreProperties>
</file>